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36" w:rsidRDefault="000B5936" w:rsidP="000B5936">
      <w:pPr>
        <w:jc w:val="center"/>
        <w:rPr>
          <w:rFonts w:ascii="Times New Roman" w:hAnsi="Times New Roman"/>
          <w:lang w:val="sr-Latn-BA"/>
        </w:rPr>
      </w:pPr>
      <w:r w:rsidRPr="0056072B">
        <w:rPr>
          <w:rFonts w:ascii="Times New Roman" w:hAnsi="Times New Roman"/>
          <w:lang w:val="sr-Latn-BA"/>
        </w:rPr>
        <w:t>BAS – BEOGRADSKA AUTOBUSKA STANICA  a.d , BEOGRAD, ŽELEZNIČKA 4</w:t>
      </w:r>
    </w:p>
    <w:p w:rsidR="000B5936" w:rsidRPr="0056072B" w:rsidRDefault="000B5936" w:rsidP="000B5936">
      <w:pPr>
        <w:jc w:val="center"/>
        <w:rPr>
          <w:rFonts w:ascii="Times New Roman" w:hAnsi="Times New Roman"/>
        </w:rPr>
      </w:pPr>
    </w:p>
    <w:p w:rsidR="000B5936" w:rsidRPr="00EE42F5" w:rsidRDefault="000B5936" w:rsidP="000B5936">
      <w:pPr>
        <w:jc w:val="center"/>
        <w:rPr>
          <w:sz w:val="16"/>
          <w:szCs w:val="16"/>
        </w:rPr>
      </w:pPr>
    </w:p>
    <w:p w:rsidR="000B5936" w:rsidRPr="00CC3156" w:rsidRDefault="000B5936" w:rsidP="000B5936">
      <w:pPr>
        <w:jc w:val="center"/>
        <w:rPr>
          <w:rFonts w:ascii="Times New Roman" w:hAnsi="Times New Roman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C3156">
        <w:rPr>
          <w:rFonts w:ascii="Times New Roman" w:hAnsi="Times New Roman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HOTEL VRUJCI</w:t>
      </w:r>
    </w:p>
    <w:p w:rsidR="000B5936" w:rsidRPr="00AF506B" w:rsidRDefault="000B5936" w:rsidP="000B5936">
      <w:pPr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0B5936" w:rsidRPr="00AF506B" w:rsidRDefault="000B5936" w:rsidP="000B5936">
      <w:pPr>
        <w:jc w:val="both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 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Vrujci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 je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specifičan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bogatom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izvoru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lekovite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teče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- 300 l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sekundi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što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ga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stavlja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prvo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mesto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poređenju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ostalim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banjama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Srbiji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.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Takođe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lekovita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koristi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ne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samo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za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punjenje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otvorenog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zatvorenog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bazena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spa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velnes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centra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vec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́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koristi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hotelskim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sobama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apartmanima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hotelskoj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kuhinji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.</w:t>
      </w:r>
      <w:r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Druga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specifičnost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je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činjenica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da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svi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bazeni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protočni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da se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njima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toku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dana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promeni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do 7 puta a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jedini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otvoreni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bazeni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Srbiji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prazne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svako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veče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dezinfikuju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peru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toku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noći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ponovo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napune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Izvorište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lekovite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hotela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Vrujci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pet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glavnih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nekoliko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sporednih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vrela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spojenih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otokama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.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Lekovita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izbija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iz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mulja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rastresitog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nanosa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prostoru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od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približno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200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metara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dužine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oko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60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metara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širine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.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Temperatura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termomineralnih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voda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banje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Vrujci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25-27c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u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sebi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sadrži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kalijum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magnezijum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selen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. Danas, pored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lečenja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banja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Vrujci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često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koristi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kao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preventivna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banja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.</w:t>
      </w:r>
      <w:r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Unutar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samog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kompleksa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nalazi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restoran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kapacitetom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od 400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mesta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koji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je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spojen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sa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terasom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kapaciteta</w:t>
      </w:r>
      <w:proofErr w:type="spellEnd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 xml:space="preserve"> 250 </w:t>
      </w:r>
      <w:proofErr w:type="spellStart"/>
      <w:r w:rsidRPr="00AF506B">
        <w:rPr>
          <w:rFonts w:ascii="Times New Roman" w:hAnsi="Times New Roman"/>
          <w:color w:val="000000" w:themeColor="text1"/>
          <w:sz w:val="16"/>
          <w:szCs w:val="16"/>
          <w:lang w:val="en-US"/>
        </w:rPr>
        <w:t>mesta</w:t>
      </w:r>
      <w:bookmarkStart w:id="0" w:name="_GoBack"/>
      <w:bookmarkEnd w:id="0"/>
      <w:proofErr w:type="spellEnd"/>
    </w:p>
    <w:p w:rsidR="0064662E" w:rsidRDefault="0064662E">
      <w:pPr>
        <w:pStyle w:val="BodyText"/>
        <w:spacing w:before="33"/>
        <w:ind w:left="0" w:firstLine="0"/>
        <w:rPr>
          <w:rFonts w:ascii="Times New Roman"/>
          <w:sz w:val="20"/>
        </w:rPr>
      </w:pPr>
    </w:p>
    <w:tbl>
      <w:tblPr>
        <w:tblW w:w="0" w:type="auto"/>
        <w:tblInd w:w="179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1531"/>
        <w:gridCol w:w="2145"/>
        <w:gridCol w:w="3706"/>
      </w:tblGrid>
      <w:tr w:rsidR="0064662E" w:rsidRPr="00D027B8" w:rsidTr="00D027B8">
        <w:trPr>
          <w:trHeight w:val="585"/>
        </w:trPr>
        <w:tc>
          <w:tcPr>
            <w:tcW w:w="1911" w:type="dxa"/>
            <w:shd w:val="clear" w:color="auto" w:fill="D9D9D9" w:themeFill="background1" w:themeFillShade="D9"/>
          </w:tcPr>
          <w:p w:rsidR="0064662E" w:rsidRPr="00D027B8" w:rsidRDefault="00D027B8">
            <w:pPr>
              <w:pStyle w:val="TableParagraph"/>
              <w:spacing w:before="2"/>
              <w:ind w:left="25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VRSTA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4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>USLUGE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64662E" w:rsidRPr="00D027B8" w:rsidRDefault="00D027B8">
            <w:pPr>
              <w:pStyle w:val="TableParagraph"/>
              <w:spacing w:before="2"/>
              <w:ind w:right="18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TIP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50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4"/>
                <w:sz w:val="16"/>
                <w:szCs w:val="16"/>
              </w:rPr>
              <w:t>SOBE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:rsidR="0064662E" w:rsidRPr="00D027B8" w:rsidRDefault="00D027B8">
            <w:pPr>
              <w:pStyle w:val="TableParagraph"/>
              <w:spacing w:before="0" w:line="290" w:lineRule="atLeast"/>
              <w:ind w:left="1690" w:right="1626" w:firstLine="211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PERIOD KORIŠĆENJA 01.06.2024.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14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-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14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30.06.2024.</w:t>
            </w:r>
          </w:p>
        </w:tc>
      </w:tr>
      <w:tr w:rsidR="0064662E" w:rsidRPr="00D027B8" w:rsidTr="00D027B8">
        <w:trPr>
          <w:trHeight w:val="329"/>
        </w:trPr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64662E" w:rsidRPr="00D027B8" w:rsidRDefault="00D027B8">
            <w:pPr>
              <w:pStyle w:val="TableParagraph"/>
              <w:ind w:left="489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>PANSION</w:t>
            </w:r>
          </w:p>
        </w:tc>
        <w:tc>
          <w:tcPr>
            <w:tcW w:w="1531" w:type="dxa"/>
          </w:tcPr>
          <w:p w:rsidR="0064662E" w:rsidRPr="00D027B8" w:rsidRDefault="00D027B8">
            <w:pPr>
              <w:pStyle w:val="TableParagraph"/>
              <w:ind w:left="12" w:right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>1/1</w:t>
            </w:r>
          </w:p>
        </w:tc>
        <w:tc>
          <w:tcPr>
            <w:tcW w:w="2145" w:type="dxa"/>
          </w:tcPr>
          <w:p w:rsidR="0064662E" w:rsidRPr="00D027B8" w:rsidRDefault="00D027B8" w:rsidP="00D027B8">
            <w:pPr>
              <w:pStyle w:val="TableParagraph"/>
              <w:spacing w:before="39" w:line="271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7.350,00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8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4"/>
                <w:sz w:val="16"/>
                <w:szCs w:val="16"/>
              </w:rPr>
              <w:t>din.</w:t>
            </w:r>
          </w:p>
        </w:tc>
        <w:tc>
          <w:tcPr>
            <w:tcW w:w="3706" w:type="dxa"/>
          </w:tcPr>
          <w:p w:rsidR="0064662E" w:rsidRPr="00D027B8" w:rsidRDefault="0064662E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62E" w:rsidRPr="00D027B8" w:rsidTr="00D027B8">
        <w:trPr>
          <w:trHeight w:val="325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4662E" w:rsidRPr="00D027B8" w:rsidRDefault="00646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64662E" w:rsidRPr="00D027B8" w:rsidRDefault="00D027B8">
            <w:pPr>
              <w:pStyle w:val="TableParagraph"/>
              <w:ind w:left="12" w:right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>1/2</w:t>
            </w:r>
          </w:p>
        </w:tc>
        <w:tc>
          <w:tcPr>
            <w:tcW w:w="2145" w:type="dxa"/>
          </w:tcPr>
          <w:p w:rsidR="0064662E" w:rsidRPr="00D027B8" w:rsidRDefault="00D027B8" w:rsidP="00D027B8">
            <w:pPr>
              <w:pStyle w:val="TableParagraph"/>
              <w:spacing w:before="35" w:line="271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5.300,00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8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4"/>
                <w:sz w:val="16"/>
                <w:szCs w:val="16"/>
              </w:rPr>
              <w:t>din.</w:t>
            </w:r>
          </w:p>
        </w:tc>
        <w:tc>
          <w:tcPr>
            <w:tcW w:w="3706" w:type="dxa"/>
          </w:tcPr>
          <w:p w:rsidR="0064662E" w:rsidRPr="00D027B8" w:rsidRDefault="00D027B8">
            <w:pPr>
              <w:pStyle w:val="TableParagraph"/>
              <w:spacing w:before="35" w:line="271" w:lineRule="exact"/>
              <w:ind w:left="10" w:right="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FF0000"/>
                <w:spacing w:val="-4"/>
                <w:sz w:val="16"/>
                <w:szCs w:val="16"/>
              </w:rPr>
              <w:t>Apartman</w:t>
            </w:r>
            <w:r w:rsidRPr="00D027B8">
              <w:rPr>
                <w:rFonts w:ascii="Times New Roman" w:hAnsi="Times New Roman" w:cs="Times New Roman"/>
                <w:b/>
                <w:color w:val="FF0000"/>
                <w:spacing w:val="-3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FF0000"/>
                <w:spacing w:val="-2"/>
                <w:sz w:val="16"/>
                <w:szCs w:val="16"/>
              </w:rPr>
              <w:t>“Vojvoda”</w:t>
            </w:r>
          </w:p>
        </w:tc>
      </w:tr>
      <w:tr w:rsidR="0064662E" w:rsidRPr="00D027B8" w:rsidTr="00D027B8">
        <w:trPr>
          <w:trHeight w:val="335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4662E" w:rsidRPr="00D027B8" w:rsidRDefault="00646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64662E" w:rsidRPr="00D027B8" w:rsidRDefault="00D027B8">
            <w:pPr>
              <w:pStyle w:val="TableParagraph"/>
              <w:spacing w:before="6"/>
              <w:ind w:right="1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>APARTMAN</w:t>
            </w:r>
          </w:p>
        </w:tc>
        <w:tc>
          <w:tcPr>
            <w:tcW w:w="2145" w:type="dxa"/>
          </w:tcPr>
          <w:p w:rsidR="0064662E" w:rsidRPr="00D027B8" w:rsidRDefault="00D027B8" w:rsidP="00D027B8">
            <w:pPr>
              <w:pStyle w:val="TableParagraph"/>
              <w:spacing w:before="40" w:line="275" w:lineRule="exact"/>
              <w:ind w:right="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14.000,00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4"/>
                <w:sz w:val="16"/>
                <w:szCs w:val="16"/>
              </w:rPr>
              <w:t>din.</w:t>
            </w:r>
          </w:p>
        </w:tc>
        <w:tc>
          <w:tcPr>
            <w:tcW w:w="3706" w:type="dxa"/>
          </w:tcPr>
          <w:p w:rsidR="0064662E" w:rsidRPr="00D027B8" w:rsidRDefault="00D027B8">
            <w:pPr>
              <w:pStyle w:val="TableParagraph"/>
              <w:spacing w:before="40" w:line="275" w:lineRule="exact"/>
              <w:ind w:left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FF0000"/>
                <w:spacing w:val="-2"/>
                <w:sz w:val="16"/>
                <w:szCs w:val="16"/>
              </w:rPr>
              <w:t>20.000,00</w:t>
            </w:r>
            <w:r w:rsidRPr="00D027B8">
              <w:rPr>
                <w:rFonts w:ascii="Times New Roman" w:hAnsi="Times New Roman" w:cs="Times New Roman"/>
                <w:b/>
                <w:color w:val="FF0000"/>
                <w:spacing w:val="-12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FF0000"/>
                <w:spacing w:val="-4"/>
                <w:sz w:val="16"/>
                <w:szCs w:val="16"/>
              </w:rPr>
              <w:t>din.</w:t>
            </w:r>
          </w:p>
        </w:tc>
      </w:tr>
      <w:tr w:rsidR="0064662E" w:rsidRPr="00D027B8" w:rsidTr="00D027B8">
        <w:trPr>
          <w:trHeight w:val="292"/>
        </w:trPr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64662E" w:rsidRPr="00D027B8" w:rsidRDefault="00D027B8">
            <w:pPr>
              <w:pStyle w:val="TableParagraph"/>
              <w:spacing w:before="6" w:line="293" w:lineRule="exact"/>
              <w:ind w:left="215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>POLUPANSION</w:t>
            </w:r>
          </w:p>
          <w:p w:rsidR="0064662E" w:rsidRPr="00D027B8" w:rsidRDefault="00D027B8">
            <w:pPr>
              <w:pStyle w:val="TableParagraph"/>
              <w:spacing w:before="0"/>
              <w:ind w:left="138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(doručak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i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>večera)</w:t>
            </w:r>
          </w:p>
        </w:tc>
        <w:tc>
          <w:tcPr>
            <w:tcW w:w="1531" w:type="dxa"/>
          </w:tcPr>
          <w:p w:rsidR="0064662E" w:rsidRPr="00D027B8" w:rsidRDefault="00D027B8">
            <w:pPr>
              <w:pStyle w:val="TableParagraph"/>
              <w:spacing w:before="6" w:line="266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>1/1</w:t>
            </w:r>
          </w:p>
        </w:tc>
        <w:tc>
          <w:tcPr>
            <w:tcW w:w="2145" w:type="dxa"/>
          </w:tcPr>
          <w:p w:rsidR="0064662E" w:rsidRPr="00D027B8" w:rsidRDefault="00D027B8" w:rsidP="00D027B8">
            <w:pPr>
              <w:pStyle w:val="TableParagraph"/>
              <w:spacing w:before="6" w:line="266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6.850,00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8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4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 w:val="restart"/>
          </w:tcPr>
          <w:p w:rsidR="0064662E" w:rsidRPr="00D027B8" w:rsidRDefault="0064662E">
            <w:pPr>
              <w:pStyle w:val="TableParagraph"/>
              <w:spacing w:before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62E" w:rsidRPr="00D027B8" w:rsidRDefault="00D027B8">
            <w:pPr>
              <w:pStyle w:val="TableParagraph"/>
              <w:spacing w:before="0"/>
              <w:ind w:left="114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19.000,00</w:t>
            </w:r>
            <w:r w:rsidRPr="00D027B8">
              <w:rPr>
                <w:rFonts w:ascii="Times New Roman" w:hAnsi="Times New Roman" w:cs="Times New Roman"/>
                <w:b/>
                <w:color w:val="FF0000"/>
                <w:spacing w:val="-11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FF0000"/>
                <w:spacing w:val="-4"/>
                <w:sz w:val="16"/>
                <w:szCs w:val="16"/>
              </w:rPr>
              <w:t>din.</w:t>
            </w:r>
          </w:p>
        </w:tc>
      </w:tr>
      <w:tr w:rsidR="0064662E" w:rsidRPr="00D027B8" w:rsidTr="00D027B8">
        <w:trPr>
          <w:trHeight w:val="292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4662E" w:rsidRPr="00D027B8" w:rsidRDefault="00646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64662E" w:rsidRPr="00D027B8" w:rsidRDefault="00D027B8">
            <w:pPr>
              <w:pStyle w:val="TableParagraph"/>
              <w:spacing w:line="271" w:lineRule="exact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>1/2</w:t>
            </w:r>
          </w:p>
        </w:tc>
        <w:tc>
          <w:tcPr>
            <w:tcW w:w="2145" w:type="dxa"/>
          </w:tcPr>
          <w:p w:rsidR="0064662E" w:rsidRPr="00D027B8" w:rsidRDefault="00D027B8" w:rsidP="00D027B8">
            <w:pPr>
              <w:pStyle w:val="TableParagraph"/>
              <w:spacing w:line="271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4.800,00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8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4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64662E" w:rsidRPr="00D027B8" w:rsidRDefault="00646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62E" w:rsidRPr="00D027B8" w:rsidTr="00D027B8">
        <w:trPr>
          <w:trHeight w:val="291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4662E" w:rsidRPr="00D027B8" w:rsidRDefault="00646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64662E" w:rsidRPr="00D027B8" w:rsidRDefault="00D027B8">
            <w:pPr>
              <w:pStyle w:val="TableParagraph"/>
              <w:spacing w:line="271" w:lineRule="exact"/>
              <w:ind w:right="1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>APARTMAN</w:t>
            </w:r>
          </w:p>
        </w:tc>
        <w:tc>
          <w:tcPr>
            <w:tcW w:w="2145" w:type="dxa"/>
          </w:tcPr>
          <w:p w:rsidR="0064662E" w:rsidRPr="00D027B8" w:rsidRDefault="00D027B8" w:rsidP="00D027B8">
            <w:pPr>
              <w:pStyle w:val="TableParagraph"/>
              <w:spacing w:line="271" w:lineRule="exact"/>
              <w:ind w:right="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13.000,00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4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64662E" w:rsidRPr="00D027B8" w:rsidRDefault="00646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62E" w:rsidRPr="00D027B8" w:rsidTr="00D027B8">
        <w:trPr>
          <w:trHeight w:val="325"/>
        </w:trPr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64662E" w:rsidRPr="00D027B8" w:rsidRDefault="00D027B8">
            <w:pPr>
              <w:pStyle w:val="TableParagraph"/>
              <w:ind w:left="340" w:right="311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NOĆENJE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14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 xml:space="preserve">SA 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>DORUČKOM</w:t>
            </w:r>
          </w:p>
        </w:tc>
        <w:tc>
          <w:tcPr>
            <w:tcW w:w="1531" w:type="dxa"/>
          </w:tcPr>
          <w:p w:rsidR="0064662E" w:rsidRPr="00D027B8" w:rsidRDefault="00D027B8">
            <w:pPr>
              <w:pStyle w:val="TableParagraph"/>
              <w:ind w:left="12" w:right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>1/1</w:t>
            </w:r>
          </w:p>
        </w:tc>
        <w:tc>
          <w:tcPr>
            <w:tcW w:w="2145" w:type="dxa"/>
          </w:tcPr>
          <w:p w:rsidR="0064662E" w:rsidRPr="00D027B8" w:rsidRDefault="00D027B8" w:rsidP="00D027B8">
            <w:pPr>
              <w:pStyle w:val="TableParagraph"/>
              <w:spacing w:before="35" w:line="271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6.650,00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8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4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 w:val="restart"/>
          </w:tcPr>
          <w:p w:rsidR="0064662E" w:rsidRPr="00D027B8" w:rsidRDefault="00D027B8">
            <w:pPr>
              <w:pStyle w:val="TableParagraph"/>
              <w:spacing w:before="40"/>
              <w:ind w:left="1158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FF0000"/>
                <w:spacing w:val="-2"/>
                <w:sz w:val="16"/>
                <w:szCs w:val="16"/>
              </w:rPr>
              <w:t>18.600,00</w:t>
            </w:r>
            <w:r w:rsidRPr="00D027B8">
              <w:rPr>
                <w:rFonts w:ascii="Times New Roman" w:hAnsi="Times New Roman" w:cs="Times New Roman"/>
                <w:b/>
                <w:color w:val="FF0000"/>
                <w:spacing w:val="-12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FF0000"/>
                <w:spacing w:val="-4"/>
                <w:sz w:val="16"/>
                <w:szCs w:val="16"/>
              </w:rPr>
              <w:t>din.</w:t>
            </w:r>
          </w:p>
        </w:tc>
      </w:tr>
      <w:tr w:rsidR="0064662E" w:rsidRPr="00D027B8" w:rsidTr="00D027B8">
        <w:trPr>
          <w:trHeight w:val="335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4662E" w:rsidRPr="00D027B8" w:rsidRDefault="00646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64662E" w:rsidRPr="00D027B8" w:rsidRDefault="00D027B8">
            <w:pPr>
              <w:pStyle w:val="TableParagraph"/>
              <w:ind w:left="12" w:right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>1/2</w:t>
            </w:r>
          </w:p>
        </w:tc>
        <w:tc>
          <w:tcPr>
            <w:tcW w:w="2145" w:type="dxa"/>
          </w:tcPr>
          <w:p w:rsidR="0064662E" w:rsidRPr="00D027B8" w:rsidRDefault="00D027B8" w:rsidP="00D027B8">
            <w:pPr>
              <w:pStyle w:val="TableParagraph"/>
              <w:spacing w:before="40" w:line="275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4.600,00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8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4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64662E" w:rsidRPr="00D027B8" w:rsidRDefault="00646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62E" w:rsidRPr="00D027B8" w:rsidTr="00D027B8">
        <w:trPr>
          <w:trHeight w:val="331"/>
        </w:trPr>
        <w:tc>
          <w:tcPr>
            <w:tcW w:w="191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4662E" w:rsidRPr="00D027B8" w:rsidRDefault="00646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64662E" w:rsidRPr="00D027B8" w:rsidRDefault="00D027B8">
            <w:pPr>
              <w:pStyle w:val="TableParagraph"/>
              <w:spacing w:before="2"/>
              <w:ind w:right="1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>APARTMAN</w:t>
            </w:r>
          </w:p>
        </w:tc>
        <w:tc>
          <w:tcPr>
            <w:tcW w:w="2145" w:type="dxa"/>
          </w:tcPr>
          <w:p w:rsidR="0064662E" w:rsidRPr="00D027B8" w:rsidRDefault="00D027B8" w:rsidP="00D027B8">
            <w:pPr>
              <w:pStyle w:val="TableParagraph"/>
              <w:spacing w:before="40" w:line="271" w:lineRule="exact"/>
              <w:ind w:right="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12.600,00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4"/>
                <w:sz w:val="16"/>
                <w:szCs w:val="16"/>
              </w:rPr>
              <w:t>din.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64662E" w:rsidRPr="00D027B8" w:rsidRDefault="00646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62E" w:rsidRPr="00D027B8" w:rsidTr="00D027B8">
        <w:trPr>
          <w:trHeight w:val="601"/>
        </w:trPr>
        <w:tc>
          <w:tcPr>
            <w:tcW w:w="1911" w:type="dxa"/>
            <w:shd w:val="clear" w:color="auto" w:fill="D9D9D9" w:themeFill="background1" w:themeFillShade="D9"/>
          </w:tcPr>
          <w:p w:rsidR="0064662E" w:rsidRPr="00D027B8" w:rsidRDefault="00D027B8">
            <w:pPr>
              <w:pStyle w:val="TableParagraph"/>
              <w:spacing w:before="3" w:line="225" w:lineRule="auto"/>
              <w:ind w:left="16"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DNEVNI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12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ODMOR (10.00 - 18.00h)</w:t>
            </w:r>
          </w:p>
          <w:p w:rsidR="0064662E" w:rsidRPr="00D027B8" w:rsidRDefault="00D027B8">
            <w:pPr>
              <w:pStyle w:val="TableParagraph"/>
              <w:spacing w:before="0" w:line="175" w:lineRule="exact"/>
              <w:ind w:left="16" w:righ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(bez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8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otvorenih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6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2"/>
                <w:sz w:val="16"/>
                <w:szCs w:val="16"/>
              </w:rPr>
              <w:t>bazena)</w:t>
            </w:r>
          </w:p>
        </w:tc>
        <w:tc>
          <w:tcPr>
            <w:tcW w:w="1531" w:type="dxa"/>
          </w:tcPr>
          <w:p w:rsidR="0064662E" w:rsidRPr="00D027B8" w:rsidRDefault="00D027B8">
            <w:pPr>
              <w:pStyle w:val="TableParagraph"/>
              <w:spacing w:before="0" w:line="285" w:lineRule="exact"/>
              <w:ind w:left="345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1/1,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4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5"/>
                <w:sz w:val="16"/>
                <w:szCs w:val="16"/>
              </w:rPr>
              <w:t>1/2</w:t>
            </w:r>
          </w:p>
        </w:tc>
        <w:tc>
          <w:tcPr>
            <w:tcW w:w="2145" w:type="dxa"/>
          </w:tcPr>
          <w:p w:rsidR="0064662E" w:rsidRPr="00D027B8" w:rsidRDefault="00D027B8" w:rsidP="00D027B8">
            <w:pPr>
              <w:pStyle w:val="TableParagraph"/>
              <w:spacing w:before="0" w:line="285" w:lineRule="exact"/>
              <w:ind w:right="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7B8">
              <w:rPr>
                <w:rFonts w:ascii="Times New Roman" w:hAnsi="Times New Roman" w:cs="Times New Roman"/>
                <w:b/>
                <w:color w:val="006FC0"/>
                <w:sz w:val="16"/>
                <w:szCs w:val="16"/>
              </w:rPr>
              <w:t>3.300,00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8"/>
                <w:sz w:val="16"/>
                <w:szCs w:val="16"/>
              </w:rPr>
              <w:t xml:space="preserve"> </w:t>
            </w:r>
            <w:r w:rsidRPr="00D027B8">
              <w:rPr>
                <w:rFonts w:ascii="Times New Roman" w:hAnsi="Times New Roman" w:cs="Times New Roman"/>
                <w:b/>
                <w:color w:val="006FC0"/>
                <w:spacing w:val="-4"/>
                <w:sz w:val="16"/>
                <w:szCs w:val="16"/>
              </w:rPr>
              <w:t>din.</w:t>
            </w:r>
          </w:p>
        </w:tc>
        <w:tc>
          <w:tcPr>
            <w:tcW w:w="3706" w:type="dxa"/>
          </w:tcPr>
          <w:p w:rsidR="0064662E" w:rsidRPr="00D027B8" w:rsidRDefault="0064662E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662E" w:rsidRPr="000B5936" w:rsidRDefault="00D027B8">
      <w:pPr>
        <w:pStyle w:val="Heading1"/>
        <w:spacing w:before="5" w:line="268" w:lineRule="exact"/>
        <w:ind w:firstLine="0"/>
        <w:rPr>
          <w:rFonts w:ascii="Times New Roman" w:hAnsi="Times New Roman" w:cs="Times New Roman"/>
          <w:sz w:val="16"/>
          <w:szCs w:val="16"/>
        </w:rPr>
      </w:pPr>
      <w:r w:rsidRPr="000B5936">
        <w:rPr>
          <w:rFonts w:ascii="Times New Roman" w:hAnsi="Times New Roman" w:cs="Times New Roman"/>
          <w:sz w:val="16"/>
          <w:szCs w:val="16"/>
        </w:rPr>
        <w:t>Navedene</w:t>
      </w:r>
      <w:r w:rsidRPr="000B5936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cene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su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po</w:t>
      </w:r>
      <w:r w:rsidRPr="000B5936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osobi</w:t>
      </w:r>
      <w:r w:rsidRPr="000B593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dnevno,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izuzev</w:t>
      </w:r>
      <w:r w:rsidRPr="000B5936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apartmana</w:t>
      </w:r>
      <w:r w:rsidRPr="000B5936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gde</w:t>
      </w:r>
      <w:r w:rsidRPr="000B593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je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iskazana</w:t>
      </w:r>
      <w:r w:rsidRPr="000B5936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cena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za</w:t>
      </w:r>
      <w:r w:rsidRPr="000B5936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dve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pacing w:val="-2"/>
          <w:sz w:val="16"/>
          <w:szCs w:val="16"/>
        </w:rPr>
        <w:t>osobe.</w:t>
      </w:r>
    </w:p>
    <w:p w:rsidR="0064662E" w:rsidRPr="000B5936" w:rsidRDefault="00D027B8">
      <w:pPr>
        <w:pStyle w:val="ListParagraph"/>
        <w:numPr>
          <w:ilvl w:val="0"/>
          <w:numId w:val="1"/>
        </w:numPr>
        <w:tabs>
          <w:tab w:val="left" w:pos="533"/>
        </w:tabs>
        <w:spacing w:line="278" w:lineRule="exact"/>
        <w:ind w:left="533" w:hanging="359"/>
        <w:rPr>
          <w:rFonts w:ascii="Times New Roman" w:hAnsi="Times New Roman" w:cs="Times New Roman"/>
          <w:sz w:val="16"/>
          <w:szCs w:val="16"/>
        </w:rPr>
      </w:pPr>
      <w:r w:rsidRPr="000B5936">
        <w:rPr>
          <w:rFonts w:ascii="Times New Roman" w:hAnsi="Times New Roman" w:cs="Times New Roman"/>
          <w:sz w:val="16"/>
          <w:szCs w:val="16"/>
        </w:rPr>
        <w:t>Ulazak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u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sobe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je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prvog</w:t>
      </w:r>
      <w:r w:rsidRPr="000B5936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dana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posle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12.00h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a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izlazak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poslednjeg</w:t>
      </w:r>
      <w:r w:rsidRPr="000B5936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dana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do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pacing w:val="-2"/>
          <w:sz w:val="16"/>
          <w:szCs w:val="16"/>
        </w:rPr>
        <w:t>10.00h.</w:t>
      </w:r>
    </w:p>
    <w:p w:rsidR="0064662E" w:rsidRPr="000B5936" w:rsidRDefault="00D027B8">
      <w:pPr>
        <w:pStyle w:val="ListParagraph"/>
        <w:numPr>
          <w:ilvl w:val="0"/>
          <w:numId w:val="1"/>
        </w:numPr>
        <w:tabs>
          <w:tab w:val="left" w:pos="533"/>
        </w:tabs>
        <w:spacing w:line="279" w:lineRule="exact"/>
        <w:ind w:left="533" w:hanging="359"/>
        <w:rPr>
          <w:rFonts w:ascii="Times New Roman" w:hAnsi="Times New Roman" w:cs="Times New Roman"/>
          <w:sz w:val="16"/>
          <w:szCs w:val="16"/>
        </w:rPr>
      </w:pPr>
      <w:r w:rsidRPr="000B5936">
        <w:rPr>
          <w:rFonts w:ascii="Times New Roman" w:hAnsi="Times New Roman" w:cs="Times New Roman"/>
          <w:sz w:val="16"/>
          <w:szCs w:val="16"/>
        </w:rPr>
        <w:t>Ukoliko</w:t>
      </w:r>
      <w:r w:rsidRPr="000B5936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gost</w:t>
      </w:r>
      <w:r w:rsidRPr="000B593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ne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napusti</w:t>
      </w:r>
      <w:r w:rsidRPr="000B5936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sobu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do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10.00h</w:t>
      </w:r>
      <w:r w:rsidRPr="000B5936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dužan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je da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plati</w:t>
      </w:r>
      <w:r w:rsidRPr="000B5936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cenu</w:t>
      </w:r>
      <w:r w:rsidRPr="000B5936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noćenja sa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pacing w:val="-2"/>
          <w:sz w:val="16"/>
          <w:szCs w:val="16"/>
        </w:rPr>
        <w:t>doručkom.</w:t>
      </w:r>
    </w:p>
    <w:p w:rsidR="0064662E" w:rsidRPr="000B5936" w:rsidRDefault="00D027B8">
      <w:pPr>
        <w:pStyle w:val="ListParagraph"/>
        <w:numPr>
          <w:ilvl w:val="0"/>
          <w:numId w:val="1"/>
        </w:numPr>
        <w:tabs>
          <w:tab w:val="left" w:pos="534"/>
        </w:tabs>
        <w:spacing w:line="244" w:lineRule="auto"/>
        <w:ind w:right="120"/>
        <w:rPr>
          <w:rFonts w:ascii="Times New Roman" w:hAnsi="Times New Roman" w:cs="Times New Roman"/>
          <w:sz w:val="16"/>
          <w:szCs w:val="16"/>
        </w:rPr>
      </w:pPr>
      <w:r w:rsidRPr="000B5936">
        <w:rPr>
          <w:rFonts w:ascii="Times New Roman" w:hAnsi="Times New Roman" w:cs="Times New Roman"/>
          <w:sz w:val="16"/>
          <w:szCs w:val="16"/>
        </w:rPr>
        <w:t>Dodatni ležaj u sobu se dodaje na zahtev gosta. Pansion u 1/3 sobi iznosi 5.000,00 din., polupansion 4.500,00 din. a noćenje sa doručkom 4.300,00 din. po osobi dnevno.</w:t>
      </w:r>
    </w:p>
    <w:p w:rsidR="0064662E" w:rsidRPr="000B5936" w:rsidRDefault="00D027B8">
      <w:pPr>
        <w:pStyle w:val="ListParagraph"/>
        <w:numPr>
          <w:ilvl w:val="0"/>
          <w:numId w:val="1"/>
        </w:numPr>
        <w:tabs>
          <w:tab w:val="left" w:pos="534"/>
        </w:tabs>
        <w:ind w:right="124"/>
        <w:rPr>
          <w:rFonts w:ascii="Times New Roman" w:hAnsi="Times New Roman" w:cs="Times New Roman"/>
          <w:sz w:val="16"/>
          <w:szCs w:val="16"/>
        </w:rPr>
      </w:pPr>
      <w:r w:rsidRPr="000B5936">
        <w:rPr>
          <w:rFonts w:ascii="Times New Roman" w:hAnsi="Times New Roman" w:cs="Times New Roman"/>
          <w:sz w:val="16"/>
          <w:szCs w:val="16"/>
        </w:rPr>
        <w:t>Za treću odnosno četvrtu osobu u apartmanu (napunjenih 10 god. i starije osobe) plaća se</w:t>
      </w:r>
      <w:r w:rsidRPr="000B5936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70% od cene smeštaja u apartmanu a za decu uzrasta 4-9 god. 50%. Ukoliko apartman koristi jedna osoba cena se umanjuje za 30% u odnosu na cenu iz tabele koja je za dve osobe.</w:t>
      </w:r>
    </w:p>
    <w:p w:rsidR="0064662E" w:rsidRPr="000B5936" w:rsidRDefault="00D027B8">
      <w:pPr>
        <w:pStyle w:val="ListParagraph"/>
        <w:numPr>
          <w:ilvl w:val="0"/>
          <w:numId w:val="1"/>
        </w:numPr>
        <w:tabs>
          <w:tab w:val="left" w:pos="534"/>
        </w:tabs>
        <w:ind w:right="127"/>
        <w:rPr>
          <w:rFonts w:ascii="Times New Roman" w:hAnsi="Times New Roman" w:cs="Times New Roman"/>
          <w:sz w:val="16"/>
          <w:szCs w:val="16"/>
        </w:rPr>
      </w:pPr>
      <w:r w:rsidRPr="000B5936">
        <w:rPr>
          <w:rFonts w:ascii="Times New Roman" w:hAnsi="Times New Roman" w:cs="Times New Roman"/>
          <w:sz w:val="16"/>
          <w:szCs w:val="16"/>
        </w:rPr>
        <w:t>Za decu od 4 do 9 godina ako koriste zajednički ležaj u sobi plaća se 50% od cene usluge, a ukoliko</w:t>
      </w:r>
      <w:r w:rsidRPr="000B5936"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koriste poseban ležaj 70%.</w:t>
      </w:r>
      <w:r w:rsidRPr="000B5936"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Za decu koja su napunila 10 god. plaća se puna cena.</w:t>
      </w:r>
    </w:p>
    <w:p w:rsidR="0064662E" w:rsidRPr="000B5936" w:rsidRDefault="00D027B8">
      <w:pPr>
        <w:pStyle w:val="ListParagraph"/>
        <w:numPr>
          <w:ilvl w:val="0"/>
          <w:numId w:val="1"/>
        </w:numPr>
        <w:tabs>
          <w:tab w:val="left" w:pos="533"/>
        </w:tabs>
        <w:spacing w:line="279" w:lineRule="exact"/>
        <w:ind w:left="533" w:hanging="359"/>
        <w:rPr>
          <w:rFonts w:ascii="Times New Roman" w:hAnsi="Times New Roman" w:cs="Times New Roman"/>
          <w:sz w:val="16"/>
          <w:szCs w:val="16"/>
        </w:rPr>
      </w:pPr>
      <w:r w:rsidRPr="000B5936">
        <w:rPr>
          <w:rFonts w:ascii="Times New Roman" w:hAnsi="Times New Roman" w:cs="Times New Roman"/>
          <w:sz w:val="16"/>
          <w:szCs w:val="16"/>
        </w:rPr>
        <w:t>Usluge</w:t>
      </w:r>
      <w:r w:rsidRPr="000B5936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pansiona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i</w:t>
      </w:r>
      <w:r w:rsidRPr="000B5936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polupansiona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izdaju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se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na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minimum</w:t>
      </w:r>
      <w:r w:rsidRPr="000B5936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dve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noći,</w:t>
      </w:r>
      <w:r w:rsidRPr="000B5936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u</w:t>
      </w:r>
      <w:r w:rsidRPr="000B593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suprotnom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se</w:t>
      </w:r>
      <w:r w:rsidRPr="000B5936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cena</w:t>
      </w:r>
      <w:r w:rsidRPr="000B593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uvećava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20%.</w:t>
      </w:r>
    </w:p>
    <w:p w:rsidR="0064662E" w:rsidRPr="000B5936" w:rsidRDefault="00D027B8">
      <w:pPr>
        <w:pStyle w:val="ListParagraph"/>
        <w:numPr>
          <w:ilvl w:val="0"/>
          <w:numId w:val="1"/>
        </w:numPr>
        <w:tabs>
          <w:tab w:val="left" w:pos="534"/>
        </w:tabs>
        <w:ind w:right="129"/>
        <w:rPr>
          <w:rFonts w:ascii="Times New Roman" w:hAnsi="Times New Roman" w:cs="Times New Roman"/>
          <w:sz w:val="16"/>
          <w:szCs w:val="16"/>
        </w:rPr>
      </w:pPr>
      <w:r w:rsidRPr="000B5936">
        <w:rPr>
          <w:rFonts w:ascii="Times New Roman" w:hAnsi="Times New Roman" w:cs="Times New Roman"/>
          <w:sz w:val="16"/>
          <w:szCs w:val="16"/>
        </w:rPr>
        <w:t>Za goste hotela korišćenje zatvorenog i otvorenih bazena je besplatno (otvoreni bazeni rade od 01. maja do 01. oktobra).</w:t>
      </w:r>
    </w:p>
    <w:p w:rsidR="0064662E" w:rsidRPr="000B5936" w:rsidRDefault="00D027B8">
      <w:pPr>
        <w:pStyle w:val="ListParagraph"/>
        <w:numPr>
          <w:ilvl w:val="0"/>
          <w:numId w:val="1"/>
        </w:numPr>
        <w:tabs>
          <w:tab w:val="left" w:pos="533"/>
        </w:tabs>
        <w:spacing w:line="278" w:lineRule="exact"/>
        <w:ind w:left="533" w:hanging="359"/>
        <w:rPr>
          <w:rFonts w:ascii="Times New Roman" w:hAnsi="Times New Roman" w:cs="Times New Roman"/>
          <w:sz w:val="16"/>
          <w:szCs w:val="16"/>
        </w:rPr>
      </w:pPr>
      <w:r w:rsidRPr="000B5936">
        <w:rPr>
          <w:rFonts w:ascii="Times New Roman" w:hAnsi="Times New Roman" w:cs="Times New Roman"/>
          <w:sz w:val="16"/>
          <w:szCs w:val="16"/>
        </w:rPr>
        <w:t>Korišćenje</w:t>
      </w:r>
      <w:r w:rsidRPr="000B5936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klime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se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naplaćuje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500,00</w:t>
      </w:r>
      <w:r w:rsidRPr="000B5936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din.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po</w:t>
      </w:r>
      <w:r w:rsidRPr="000B593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danu</w:t>
      </w:r>
      <w:r w:rsidRPr="000B593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(poseban</w:t>
      </w:r>
      <w:r w:rsidRPr="000B5936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zahtev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prilikom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pacing w:val="-2"/>
          <w:sz w:val="16"/>
          <w:szCs w:val="16"/>
        </w:rPr>
        <w:t>rezervacije).</w:t>
      </w:r>
    </w:p>
    <w:p w:rsidR="0064662E" w:rsidRPr="000B5936" w:rsidRDefault="00D027B8">
      <w:pPr>
        <w:pStyle w:val="ListParagraph"/>
        <w:numPr>
          <w:ilvl w:val="0"/>
          <w:numId w:val="1"/>
        </w:numPr>
        <w:tabs>
          <w:tab w:val="left" w:pos="533"/>
        </w:tabs>
        <w:spacing w:line="278" w:lineRule="exact"/>
        <w:ind w:left="533" w:hanging="359"/>
        <w:jc w:val="both"/>
        <w:rPr>
          <w:rFonts w:ascii="Times New Roman" w:hAnsi="Times New Roman" w:cs="Times New Roman"/>
          <w:sz w:val="16"/>
          <w:szCs w:val="16"/>
        </w:rPr>
      </w:pPr>
      <w:r w:rsidRPr="000B5936">
        <w:rPr>
          <w:rFonts w:ascii="Times New Roman" w:hAnsi="Times New Roman" w:cs="Times New Roman"/>
          <w:sz w:val="16"/>
          <w:szCs w:val="16"/>
        </w:rPr>
        <w:t>U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cenu</w:t>
      </w:r>
      <w:r w:rsidRPr="000B5936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usluga</w:t>
      </w:r>
      <w:r w:rsidRPr="000B593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nije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uračunata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boravišna</w:t>
      </w:r>
      <w:r w:rsidRPr="000B5936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taksa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(100,00</w:t>
      </w:r>
      <w:r w:rsidRPr="000B593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dinara)</w:t>
      </w:r>
      <w:r w:rsidRPr="000B593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i</w:t>
      </w:r>
      <w:r w:rsidRPr="000B593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osiguranje</w:t>
      </w:r>
      <w:r w:rsidRPr="000B593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(10,00</w:t>
      </w:r>
      <w:r w:rsidRPr="000B5936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pacing w:val="-2"/>
          <w:sz w:val="16"/>
          <w:szCs w:val="16"/>
        </w:rPr>
        <w:t>dinara).</w:t>
      </w:r>
    </w:p>
    <w:p w:rsidR="0064662E" w:rsidRPr="000B5936" w:rsidRDefault="00D027B8">
      <w:pPr>
        <w:pStyle w:val="ListParagraph"/>
        <w:numPr>
          <w:ilvl w:val="0"/>
          <w:numId w:val="1"/>
        </w:numPr>
        <w:tabs>
          <w:tab w:val="left" w:pos="534"/>
        </w:tabs>
        <w:spacing w:line="244" w:lineRule="auto"/>
        <w:ind w:right="123"/>
        <w:rPr>
          <w:rFonts w:ascii="Times New Roman" w:hAnsi="Times New Roman" w:cs="Times New Roman"/>
          <w:sz w:val="16"/>
          <w:szCs w:val="16"/>
        </w:rPr>
      </w:pPr>
      <w:r w:rsidRPr="000B5936">
        <w:rPr>
          <w:rFonts w:ascii="Times New Roman" w:hAnsi="Times New Roman" w:cs="Times New Roman"/>
          <w:sz w:val="16"/>
          <w:szCs w:val="16"/>
        </w:rPr>
        <w:t>Boravišna taksa za decu od 7 do 15 godina iznosi 50,00 dinara. Za decu uzrasta do 7 god. boravišna taksa se ne plaća. Visinu boravišne takse odredjuje nadležni organ Opštine Mionica.</w:t>
      </w:r>
    </w:p>
    <w:p w:rsidR="0064662E" w:rsidRDefault="00D027B8">
      <w:pPr>
        <w:pStyle w:val="ListParagraph"/>
        <w:numPr>
          <w:ilvl w:val="0"/>
          <w:numId w:val="1"/>
        </w:numPr>
        <w:tabs>
          <w:tab w:val="left" w:pos="534"/>
        </w:tabs>
        <w:ind w:right="125"/>
        <w:rPr>
          <w:rFonts w:ascii="Times New Roman" w:hAnsi="Times New Roman" w:cs="Times New Roman"/>
          <w:sz w:val="16"/>
          <w:szCs w:val="16"/>
        </w:rPr>
      </w:pPr>
      <w:r w:rsidRPr="000B5936">
        <w:rPr>
          <w:rFonts w:ascii="Times New Roman" w:hAnsi="Times New Roman" w:cs="Times New Roman"/>
          <w:sz w:val="16"/>
          <w:szCs w:val="16"/>
        </w:rPr>
        <w:t>Gosti hotela</w:t>
      </w:r>
      <w:r w:rsidRPr="000B593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sve vreme boravka</w:t>
      </w:r>
      <w:r w:rsidRPr="000B593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su</w:t>
      </w:r>
      <w:r w:rsidRPr="000B593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u</w:t>
      </w:r>
      <w:r w:rsidRPr="000B593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obavezi da</w:t>
      </w:r>
      <w:r w:rsidRPr="000B593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B5936">
        <w:rPr>
          <w:rFonts w:ascii="Times New Roman" w:hAnsi="Times New Roman" w:cs="Times New Roman"/>
          <w:sz w:val="16"/>
          <w:szCs w:val="16"/>
        </w:rPr>
        <w:t>nose identifikacione naruk</w:t>
      </w:r>
      <w:r w:rsidRPr="000B5936">
        <w:rPr>
          <w:rFonts w:ascii="Times New Roman" w:hAnsi="Times New Roman" w:cs="Times New Roman"/>
          <w:sz w:val="16"/>
          <w:szCs w:val="16"/>
        </w:rPr>
        <w:t>vice koje im omogućavaju ulazak u salu za služenje obroka i ulazak na zatvoreni i otvorene bazene.</w:t>
      </w:r>
    </w:p>
    <w:p w:rsidR="00D027B8" w:rsidRDefault="00D027B8" w:rsidP="00D027B8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2"/>
        <w:ind w:right="124"/>
        <w:rPr>
          <w:rFonts w:ascii="Times New Roman" w:hAnsi="Times New Roman" w:cs="Times New Roman"/>
          <w:sz w:val="16"/>
          <w:szCs w:val="16"/>
        </w:rPr>
      </w:pPr>
      <w:r w:rsidRPr="00785FDF">
        <w:rPr>
          <w:rFonts w:ascii="Times New Roman" w:hAnsi="Times New Roman" w:cs="Times New Roman"/>
          <w:b/>
          <w:sz w:val="16"/>
          <w:szCs w:val="16"/>
        </w:rPr>
        <w:t>NAČIN PLAĆANJA:</w:t>
      </w:r>
      <w:r>
        <w:rPr>
          <w:rFonts w:ascii="Times New Roman" w:hAnsi="Times New Roman" w:cs="Times New Roman"/>
          <w:sz w:val="16"/>
          <w:szCs w:val="16"/>
        </w:rPr>
        <w:t xml:space="preserve"> Prilikom rezervacije 30% od cene aranžmana a </w:t>
      </w:r>
      <w:r w:rsidRPr="00785FDF">
        <w:rPr>
          <w:rFonts w:ascii="Times New Roman" w:hAnsi="Times New Roman" w:cs="Times New Roman"/>
          <w:sz w:val="16"/>
          <w:szCs w:val="16"/>
        </w:rPr>
        <w:t>ostatak na 6 mesečnih rata, čekovima građana ili uplata u celosti. Plaćanje putem administrativne zabrane na 6 rata kompanija/sindikata sa kojima imamo ugovor.</w:t>
      </w:r>
    </w:p>
    <w:p w:rsidR="00D027B8" w:rsidRDefault="00D027B8" w:rsidP="00D027B8">
      <w:pPr>
        <w:pStyle w:val="ListParagraph"/>
        <w:tabs>
          <w:tab w:val="left" w:pos="533"/>
          <w:tab w:val="left" w:pos="535"/>
        </w:tabs>
        <w:spacing w:before="2"/>
        <w:ind w:right="124" w:firstLine="0"/>
        <w:rPr>
          <w:rFonts w:ascii="Times New Roman" w:hAnsi="Times New Roman" w:cs="Times New Roman"/>
          <w:sz w:val="16"/>
          <w:szCs w:val="16"/>
        </w:rPr>
      </w:pPr>
    </w:p>
    <w:p w:rsidR="00D027B8" w:rsidRDefault="00D027B8" w:rsidP="00D027B8">
      <w:pPr>
        <w:pStyle w:val="ListParagraph"/>
        <w:tabs>
          <w:tab w:val="left" w:pos="533"/>
          <w:tab w:val="left" w:pos="535"/>
        </w:tabs>
        <w:spacing w:before="2"/>
        <w:ind w:right="124" w:firstLine="0"/>
        <w:rPr>
          <w:rFonts w:ascii="Times New Roman" w:hAnsi="Times New Roman" w:cs="Times New Roman"/>
          <w:sz w:val="16"/>
          <w:szCs w:val="16"/>
        </w:rPr>
      </w:pPr>
    </w:p>
    <w:p w:rsidR="00D027B8" w:rsidRDefault="00D027B8" w:rsidP="00D027B8">
      <w:pPr>
        <w:jc w:val="center"/>
        <w:rPr>
          <w:rStyle w:val="markedcontent"/>
          <w:rFonts w:ascii="Times New Roman" w:hAnsi="Times New Roman"/>
          <w:b/>
          <w:sz w:val="20"/>
          <w:szCs w:val="20"/>
        </w:rPr>
      </w:pPr>
      <w:r w:rsidRPr="00B67DEE">
        <w:rPr>
          <w:rStyle w:val="markedcontent"/>
          <w:rFonts w:ascii="Times New Roman" w:hAnsi="Times New Roman"/>
          <w:b/>
          <w:sz w:val="20"/>
          <w:szCs w:val="20"/>
        </w:rPr>
        <w:t>Uz ovaj program važe opšti uslovi putovanja organizatora turističke agencije“ BASTURIST“</w:t>
      </w:r>
    </w:p>
    <w:p w:rsidR="00D027B8" w:rsidRPr="00B67DEE" w:rsidRDefault="00D027B8" w:rsidP="00D027B8">
      <w:pPr>
        <w:jc w:val="center"/>
        <w:rPr>
          <w:rStyle w:val="markedcontent"/>
          <w:rFonts w:ascii="Times New Roman" w:hAnsi="Times New Roman"/>
          <w:sz w:val="20"/>
          <w:szCs w:val="20"/>
        </w:rPr>
      </w:pPr>
    </w:p>
    <w:p w:rsidR="00D027B8" w:rsidRPr="000B5936" w:rsidRDefault="00D027B8" w:rsidP="00D027B8">
      <w:pPr>
        <w:pStyle w:val="ListParagraph"/>
        <w:tabs>
          <w:tab w:val="left" w:pos="534"/>
        </w:tabs>
        <w:ind w:right="125" w:firstLine="0"/>
        <w:rPr>
          <w:rFonts w:ascii="Times New Roman" w:hAnsi="Times New Roman" w:cs="Times New Roman"/>
          <w:sz w:val="16"/>
          <w:szCs w:val="16"/>
        </w:rPr>
      </w:pPr>
      <w:r>
        <w:object w:dxaOrig="11228" w:dyaOrig="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65.55pt" o:ole="">
            <v:imagedata r:id="rId5" o:title=""/>
          </v:shape>
          <o:OLEObject Type="Embed" ProgID="Visio.Drawing.11" ShapeID="_x0000_i1025" DrawAspect="Content" ObjectID="_1767771986" r:id="rId6"/>
        </w:object>
      </w:r>
    </w:p>
    <w:sectPr w:rsidR="00D027B8" w:rsidRPr="000B5936">
      <w:type w:val="continuous"/>
      <w:pgSz w:w="12240" w:h="15840"/>
      <w:pgMar w:top="260" w:right="14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60E"/>
    <w:multiLevelType w:val="hybridMultilevel"/>
    <w:tmpl w:val="53E03DC8"/>
    <w:lvl w:ilvl="0" w:tplc="9DC2B7F6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F9388F62">
      <w:numFmt w:val="bullet"/>
      <w:lvlText w:val="•"/>
      <w:lvlJc w:val="left"/>
      <w:pPr>
        <w:ind w:left="1452" w:hanging="360"/>
      </w:pPr>
      <w:rPr>
        <w:rFonts w:hint="default"/>
        <w:lang w:val="bs" w:eastAsia="en-US" w:bidi="ar-SA"/>
      </w:rPr>
    </w:lvl>
    <w:lvl w:ilvl="2" w:tplc="4A9CA122">
      <w:numFmt w:val="bullet"/>
      <w:lvlText w:val="•"/>
      <w:lvlJc w:val="left"/>
      <w:pPr>
        <w:ind w:left="2364" w:hanging="360"/>
      </w:pPr>
      <w:rPr>
        <w:rFonts w:hint="default"/>
        <w:lang w:val="bs" w:eastAsia="en-US" w:bidi="ar-SA"/>
      </w:rPr>
    </w:lvl>
    <w:lvl w:ilvl="3" w:tplc="26FE22B4">
      <w:numFmt w:val="bullet"/>
      <w:lvlText w:val="•"/>
      <w:lvlJc w:val="left"/>
      <w:pPr>
        <w:ind w:left="3276" w:hanging="360"/>
      </w:pPr>
      <w:rPr>
        <w:rFonts w:hint="default"/>
        <w:lang w:val="bs" w:eastAsia="en-US" w:bidi="ar-SA"/>
      </w:rPr>
    </w:lvl>
    <w:lvl w:ilvl="4" w:tplc="DA4C275C">
      <w:numFmt w:val="bullet"/>
      <w:lvlText w:val="•"/>
      <w:lvlJc w:val="left"/>
      <w:pPr>
        <w:ind w:left="4188" w:hanging="360"/>
      </w:pPr>
      <w:rPr>
        <w:rFonts w:hint="default"/>
        <w:lang w:val="bs" w:eastAsia="en-US" w:bidi="ar-SA"/>
      </w:rPr>
    </w:lvl>
    <w:lvl w:ilvl="5" w:tplc="572462F4">
      <w:numFmt w:val="bullet"/>
      <w:lvlText w:val="•"/>
      <w:lvlJc w:val="left"/>
      <w:pPr>
        <w:ind w:left="5100" w:hanging="360"/>
      </w:pPr>
      <w:rPr>
        <w:rFonts w:hint="default"/>
        <w:lang w:val="bs" w:eastAsia="en-US" w:bidi="ar-SA"/>
      </w:rPr>
    </w:lvl>
    <w:lvl w:ilvl="6" w:tplc="A956EBB4">
      <w:numFmt w:val="bullet"/>
      <w:lvlText w:val="•"/>
      <w:lvlJc w:val="left"/>
      <w:pPr>
        <w:ind w:left="6012" w:hanging="360"/>
      </w:pPr>
      <w:rPr>
        <w:rFonts w:hint="default"/>
        <w:lang w:val="bs" w:eastAsia="en-US" w:bidi="ar-SA"/>
      </w:rPr>
    </w:lvl>
    <w:lvl w:ilvl="7" w:tplc="FE0CBB36">
      <w:numFmt w:val="bullet"/>
      <w:lvlText w:val="•"/>
      <w:lvlJc w:val="left"/>
      <w:pPr>
        <w:ind w:left="6924" w:hanging="360"/>
      </w:pPr>
      <w:rPr>
        <w:rFonts w:hint="default"/>
        <w:lang w:val="bs" w:eastAsia="en-US" w:bidi="ar-SA"/>
      </w:rPr>
    </w:lvl>
    <w:lvl w:ilvl="8" w:tplc="B336A39C">
      <w:numFmt w:val="bullet"/>
      <w:lvlText w:val="•"/>
      <w:lvlJc w:val="left"/>
      <w:pPr>
        <w:ind w:left="7836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48B63A77"/>
    <w:multiLevelType w:val="hybridMultilevel"/>
    <w:tmpl w:val="2D86E752"/>
    <w:lvl w:ilvl="0" w:tplc="E3B672FA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 w:tplc="57E41E78">
      <w:numFmt w:val="bullet"/>
      <w:lvlText w:val="•"/>
      <w:lvlJc w:val="left"/>
      <w:pPr>
        <w:ind w:left="1452" w:hanging="360"/>
      </w:pPr>
      <w:rPr>
        <w:rFonts w:hint="default"/>
        <w:lang w:val="bs" w:eastAsia="en-US" w:bidi="ar-SA"/>
      </w:rPr>
    </w:lvl>
    <w:lvl w:ilvl="2" w:tplc="3AE4B1E4">
      <w:numFmt w:val="bullet"/>
      <w:lvlText w:val="•"/>
      <w:lvlJc w:val="left"/>
      <w:pPr>
        <w:ind w:left="2364" w:hanging="360"/>
      </w:pPr>
      <w:rPr>
        <w:rFonts w:hint="default"/>
        <w:lang w:val="bs" w:eastAsia="en-US" w:bidi="ar-SA"/>
      </w:rPr>
    </w:lvl>
    <w:lvl w:ilvl="3" w:tplc="148A6BFE">
      <w:numFmt w:val="bullet"/>
      <w:lvlText w:val="•"/>
      <w:lvlJc w:val="left"/>
      <w:pPr>
        <w:ind w:left="3276" w:hanging="360"/>
      </w:pPr>
      <w:rPr>
        <w:rFonts w:hint="default"/>
        <w:lang w:val="bs" w:eastAsia="en-US" w:bidi="ar-SA"/>
      </w:rPr>
    </w:lvl>
    <w:lvl w:ilvl="4" w:tplc="8E2CA338">
      <w:numFmt w:val="bullet"/>
      <w:lvlText w:val="•"/>
      <w:lvlJc w:val="left"/>
      <w:pPr>
        <w:ind w:left="4188" w:hanging="360"/>
      </w:pPr>
      <w:rPr>
        <w:rFonts w:hint="default"/>
        <w:lang w:val="bs" w:eastAsia="en-US" w:bidi="ar-SA"/>
      </w:rPr>
    </w:lvl>
    <w:lvl w:ilvl="5" w:tplc="19AA18DE">
      <w:numFmt w:val="bullet"/>
      <w:lvlText w:val="•"/>
      <w:lvlJc w:val="left"/>
      <w:pPr>
        <w:ind w:left="5100" w:hanging="360"/>
      </w:pPr>
      <w:rPr>
        <w:rFonts w:hint="default"/>
        <w:lang w:val="bs" w:eastAsia="en-US" w:bidi="ar-SA"/>
      </w:rPr>
    </w:lvl>
    <w:lvl w:ilvl="6" w:tplc="627EDB02">
      <w:numFmt w:val="bullet"/>
      <w:lvlText w:val="•"/>
      <w:lvlJc w:val="left"/>
      <w:pPr>
        <w:ind w:left="6012" w:hanging="360"/>
      </w:pPr>
      <w:rPr>
        <w:rFonts w:hint="default"/>
        <w:lang w:val="bs" w:eastAsia="en-US" w:bidi="ar-SA"/>
      </w:rPr>
    </w:lvl>
    <w:lvl w:ilvl="7" w:tplc="55589BBC">
      <w:numFmt w:val="bullet"/>
      <w:lvlText w:val="•"/>
      <w:lvlJc w:val="left"/>
      <w:pPr>
        <w:ind w:left="6924" w:hanging="360"/>
      </w:pPr>
      <w:rPr>
        <w:rFonts w:hint="default"/>
        <w:lang w:val="bs" w:eastAsia="en-US" w:bidi="ar-SA"/>
      </w:rPr>
    </w:lvl>
    <w:lvl w:ilvl="8" w:tplc="0A2823BA">
      <w:numFmt w:val="bullet"/>
      <w:lvlText w:val="•"/>
      <w:lvlJc w:val="left"/>
      <w:pPr>
        <w:ind w:left="7836" w:hanging="360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2E"/>
    <w:rsid w:val="000B5936"/>
    <w:rsid w:val="0064662E"/>
    <w:rsid w:val="00D0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55B5"/>
  <w15:docId w15:val="{637EAD7E-6282-4217-A7D2-9143710A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s"/>
    </w:rPr>
  </w:style>
  <w:style w:type="paragraph" w:styleId="Heading1">
    <w:name w:val="heading 1"/>
    <w:basedOn w:val="Normal"/>
    <w:uiPriority w:val="1"/>
    <w:qFormat/>
    <w:pPr>
      <w:ind w:left="178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3" w:hanging="360"/>
    </w:pPr>
  </w:style>
  <w:style w:type="paragraph" w:styleId="ListParagraph">
    <w:name w:val="List Paragraph"/>
    <w:basedOn w:val="Normal"/>
    <w:uiPriority w:val="1"/>
    <w:qFormat/>
    <w:pPr>
      <w:ind w:left="534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right"/>
    </w:pPr>
  </w:style>
  <w:style w:type="character" w:customStyle="1" w:styleId="markedcontent">
    <w:name w:val="markedcontent"/>
    <w:basedOn w:val="DefaultParagraphFont"/>
    <w:rsid w:val="00D0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Dragana Vašalić</cp:lastModifiedBy>
  <cp:revision>2</cp:revision>
  <dcterms:created xsi:type="dcterms:W3CDTF">2024-01-26T10:00:00Z</dcterms:created>
  <dcterms:modified xsi:type="dcterms:W3CDTF">2024-01-26T10:00:00Z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2024-01-26T00:00:00Z</vt:filetime>
  </property>
  <property fmtid="{D5CDD505-2E9C-101B-9397-08002B2CF9AE}" pid="5" name="Producer">
    <vt:lpwstr>www.ilovepdf.com</vt:lpwstr>
  </property>
</Properties>
</file>