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01" w:rsidRDefault="00940501" w:rsidP="00940501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940501">
        <w:rPr>
          <w:rFonts w:ascii="Times New Roman" w:hAnsi="Times New Roman" w:cs="Times New Roman"/>
          <w:b/>
          <w:sz w:val="24"/>
          <w:szCs w:val="24"/>
          <w:lang w:val="sr-Latn-BA"/>
        </w:rPr>
        <w:t>BAS – BEOGRADSKA AUTOBUSKA STANICA  a.d , BEOGRAD, ŽELEZNIČKA 4</w:t>
      </w:r>
    </w:p>
    <w:p w:rsidR="008604C1" w:rsidRPr="00940501" w:rsidRDefault="008604C1" w:rsidP="00940501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940501" w:rsidRPr="00940501" w:rsidRDefault="00940501" w:rsidP="00940501">
      <w:pPr>
        <w:widowControl/>
        <w:autoSpaceDE/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96"/>
          <w:szCs w:val="96"/>
          <w:lang w:val="sr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0501">
        <w:rPr>
          <w:rFonts w:ascii="Times New Roman" w:hAnsi="Times New Roman" w:cs="Times New Roman"/>
          <w:b/>
          <w:color w:val="4472C4" w:themeColor="accent5"/>
          <w:sz w:val="96"/>
          <w:szCs w:val="96"/>
          <w:lang w:val="sr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HOTEL AKAPULKO</w:t>
      </w:r>
    </w:p>
    <w:p w:rsidR="00940501" w:rsidRPr="00940501" w:rsidRDefault="00940501" w:rsidP="00940501">
      <w:pPr>
        <w:rPr>
          <w:rFonts w:ascii="Times New Roman" w:hAnsi="Times New Roman" w:cs="Times New Roman"/>
        </w:rPr>
      </w:pPr>
    </w:p>
    <w:p w:rsidR="00940501" w:rsidRDefault="00940501" w:rsidP="007E162A">
      <w:pPr>
        <w:jc w:val="both"/>
        <w:rPr>
          <w:rFonts w:ascii="Times New Roman" w:hAnsi="Times New Roman" w:cs="Times New Roman"/>
        </w:rPr>
      </w:pPr>
      <w:r w:rsidRPr="00940501">
        <w:rPr>
          <w:rFonts w:ascii="Times New Roman" w:hAnsi="Times New Roman" w:cs="Times New Roman"/>
        </w:rPr>
        <w:t>Hotel Aka</w:t>
      </w:r>
      <w:r>
        <w:rPr>
          <w:rFonts w:ascii="Times New Roman" w:hAnsi="Times New Roman" w:cs="Times New Roman"/>
        </w:rPr>
        <w:t xml:space="preserve">pulko se nalazi u turističkom naselju Sutomore, </w:t>
      </w:r>
      <w:r w:rsidR="00706867">
        <w:rPr>
          <w:rFonts w:ascii="Times New Roman" w:hAnsi="Times New Roman" w:cs="Times New Roman"/>
        </w:rPr>
        <w:t>na putu prema Maljeviku</w:t>
      </w:r>
      <w:r>
        <w:rPr>
          <w:rFonts w:ascii="Times New Roman" w:hAnsi="Times New Roman" w:cs="Times New Roman"/>
        </w:rPr>
        <w:t>. Sutomore je veoma popularna turistička destinacija u Crnoj Gori, poznata po svojim 5km dugim plažama koje su borovim šumama zaštićene od hladnih vetrova sa severa.</w:t>
      </w:r>
      <w:r w:rsidR="007E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Sutomore ima jedinstvenu mikro klimu, ovo je idealno mesto za porodični odmor.</w:t>
      </w:r>
      <w:r w:rsidR="00DD6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Hotel Akapulko nudi bazen na otvorenom sa terasom za sunčanje, suncobranima i ležaljkama. U okviru hotela postoji i restoran, recepcija, kutak za decu ...</w:t>
      </w:r>
      <w:r w:rsidR="00706867">
        <w:rPr>
          <w:rFonts w:ascii="Times New Roman" w:hAnsi="Times New Roman" w:cs="Times New Roman"/>
        </w:rPr>
        <w:t xml:space="preserve"> </w:t>
      </w:r>
      <w:r w:rsidR="007E162A">
        <w:rPr>
          <w:rFonts w:ascii="Times New Roman" w:hAnsi="Times New Roman" w:cs="Times New Roman"/>
        </w:rPr>
        <w:t>Sobe su udobno i moderno dizajnirane, sa pogledom na hotelski bazen ili planine u zaleđu grada. Hotel raspolaže sa 34 sobe u kojima su vam na raspolaganju: mini bar, klima uređaj, satelitski i kablovski Tv program, wi-fi, sef, kupatilo, kupatilska kozmetika, peškir i fen. U restoranu u ponudi su crnogorski i internacionalni specijaliteti i kvalitetna pića uz dobru uslugu. Struktura soba je : dvokrevetna, trokrevetna, četvorokrevetna i apartman.</w:t>
      </w:r>
    </w:p>
    <w:p w:rsidR="00940501" w:rsidRDefault="00940501" w:rsidP="00940501">
      <w:pPr>
        <w:rPr>
          <w:rFonts w:ascii="Times New Roman" w:hAnsi="Times New Roman" w:cs="Times New Roman"/>
        </w:rPr>
      </w:pPr>
    </w:p>
    <w:p w:rsidR="00940501" w:rsidRPr="00940501" w:rsidRDefault="00940501" w:rsidP="00940501">
      <w:pPr>
        <w:rPr>
          <w:rFonts w:ascii="Times New Roman" w:hAnsi="Times New Roman" w:cs="Times New Roman"/>
          <w:sz w:val="16"/>
          <w:szCs w:val="16"/>
        </w:rPr>
      </w:pPr>
      <w:r w:rsidRPr="00940501">
        <w:rPr>
          <w:rFonts w:ascii="Times New Roman" w:hAnsi="Times New Roman" w:cs="Times New Roman"/>
          <w:sz w:val="16"/>
          <w:szCs w:val="16"/>
        </w:rPr>
        <w:t xml:space="preserve">Cenovnik 24.01.2024.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40501" w:rsidRPr="00940501" w:rsidTr="004F41C9"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1">
              <w:rPr>
                <w:rFonts w:ascii="Times New Roman" w:hAnsi="Times New Roman" w:cs="Times New Roman"/>
                <w:sz w:val="18"/>
                <w:szCs w:val="18"/>
              </w:rPr>
              <w:t>01.05. -  15.06.2024.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1">
              <w:rPr>
                <w:rFonts w:ascii="Times New Roman" w:hAnsi="Times New Roman" w:cs="Times New Roman"/>
                <w:sz w:val="18"/>
                <w:szCs w:val="18"/>
              </w:rPr>
              <w:t>25.06. – 31.08.2024.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1">
              <w:rPr>
                <w:rFonts w:ascii="Times New Roman" w:hAnsi="Times New Roman" w:cs="Times New Roman"/>
                <w:sz w:val="18"/>
                <w:szCs w:val="18"/>
              </w:rPr>
              <w:t>01.09. – 30.09.2024.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1">
              <w:rPr>
                <w:rFonts w:ascii="Times New Roman" w:hAnsi="Times New Roman" w:cs="Times New Roman"/>
                <w:sz w:val="18"/>
                <w:szCs w:val="18"/>
              </w:rPr>
              <w:t>Doplata za doručak</w:t>
            </w:r>
          </w:p>
        </w:tc>
      </w:tr>
      <w:tr w:rsidR="00940501" w:rsidTr="004F41C9"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0501">
              <w:rPr>
                <w:rFonts w:ascii="Times New Roman" w:hAnsi="Times New Roman" w:cs="Times New Roman"/>
                <w:sz w:val="16"/>
                <w:szCs w:val="16"/>
              </w:rPr>
              <w:t>Cene su po osobi i danu bez boravišne takse 3*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0501" w:rsidTr="004F41C9">
        <w:tc>
          <w:tcPr>
            <w:tcW w:w="1870" w:type="dxa"/>
            <w:shd w:val="clear" w:color="auto" w:fill="D9D9D9" w:themeFill="background1" w:themeFillShade="D9"/>
          </w:tcPr>
          <w:p w:rsidR="00940501" w:rsidRPr="00940501" w:rsidRDefault="00940501" w:rsidP="00940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0501">
              <w:rPr>
                <w:rFonts w:ascii="Times New Roman" w:hAnsi="Times New Roman" w:cs="Times New Roman"/>
                <w:sz w:val="16"/>
                <w:szCs w:val="16"/>
              </w:rPr>
              <w:t>Cene su po os</w:t>
            </w:r>
            <w:r w:rsidRPr="00940501">
              <w:rPr>
                <w:rFonts w:ascii="Times New Roman" w:hAnsi="Times New Roman" w:cs="Times New Roman"/>
                <w:sz w:val="16"/>
                <w:szCs w:val="16"/>
              </w:rPr>
              <w:t>obi i danu bez boravišne takse 4</w:t>
            </w:r>
            <w:r w:rsidRPr="0094050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0" w:type="dxa"/>
          </w:tcPr>
          <w:p w:rsidR="00940501" w:rsidRDefault="00940501" w:rsidP="0094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40501" w:rsidRDefault="00940501" w:rsidP="00940501">
      <w:pPr>
        <w:rPr>
          <w:rFonts w:ascii="Times New Roman" w:hAnsi="Times New Roman" w:cs="Times New Roman"/>
        </w:rPr>
      </w:pP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Boravišna taksa i osiguranje je 1,8e po osobi po danu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Deca do 12god. plaćaju samo osiguranje 0,8e po danu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Deca uzrasta od 12 do 18god. plaćaju 50% od iznosa boravišne takse + osiguranje (0,5+0,8e)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 korišćenje 1/1 sobe doplata je 80%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 decu do 3god., u pratnji dve odrasle osobe, smeštaj je besplatan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 decu do 3god., u prtnji jedne odrasle osobe, popust je 50%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Deca starosti od 3 do 12god. u pratnji jedne odrasle osobe tretiraju se kao odrasle osobe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Deca starosti od 3 do 12god. u pratnji dve odrasle osobe, popust je 50%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Cena uključuje korišćenje otvorenog bazena, suncobrana i ležaljki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Besplatan parking za goste hotela</w:t>
      </w:r>
    </w:p>
    <w:p w:rsidR="00C43F88" w:rsidRDefault="00C43F88" w:rsidP="00940501">
      <w:pPr>
        <w:rPr>
          <w:rFonts w:ascii="Times New Roman" w:hAnsi="Times New Roman" w:cs="Times New Roman"/>
        </w:rPr>
      </w:pP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USLOVI PLAĆANJA:</w:t>
      </w:r>
    </w:p>
    <w:p w:rsidR="00C43F88" w:rsidRDefault="00C43F88" w:rsidP="00940501">
      <w:pPr>
        <w:rPr>
          <w:rFonts w:ascii="Times New Roman" w:hAnsi="Times New Roman" w:cs="Times New Roman"/>
        </w:rPr>
      </w:pPr>
    </w:p>
    <w:p w:rsidR="00940501" w:rsidRDefault="00940501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*Aranžman je plativ u dinarskoj protivvrednosti </w:t>
      </w:r>
      <w:r w:rsidR="00C43F88">
        <w:rPr>
          <w:rFonts w:ascii="Times New Roman" w:hAnsi="Times New Roman" w:cs="Times New Roman"/>
        </w:rPr>
        <w:t>po zvaničnom srednjem kursu NBS</w:t>
      </w:r>
    </w:p>
    <w:p w:rsidR="00C43F88" w:rsidRDefault="00C43F88" w:rsidP="0094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Priliko rezervacije 40% od cene aranžmana, a preostali iznos najkasnije 15 dana pre početka putovanja ili 10 mesečnih rata, čekovima građana.</w:t>
      </w:r>
    </w:p>
    <w:p w:rsidR="00C43F88" w:rsidRDefault="00C43F88" w:rsidP="00940501">
      <w:pPr>
        <w:rPr>
          <w:rFonts w:ascii="Times New Roman" w:hAnsi="Times New Roman" w:cs="Times New Roman"/>
        </w:rPr>
      </w:pPr>
    </w:p>
    <w:p w:rsidR="00B77177" w:rsidRDefault="00C43F88" w:rsidP="00A075EF">
      <w:pPr>
        <w:jc w:val="center"/>
        <w:rPr>
          <w:rFonts w:ascii="Times New Roman" w:hAnsi="Times New Roman" w:cs="Times New Roman"/>
        </w:rPr>
      </w:pPr>
      <w:r w:rsidRPr="00C6187F">
        <w:rPr>
          <w:rFonts w:ascii="Times New Roman" w:hAnsi="Times New Roman" w:cs="Times New Roman"/>
        </w:rPr>
        <w:t>Uz ovaj program važe opšti uslovi putovanja organizatora turističke agencije“ BASTURIST“</w:t>
      </w:r>
    </w:p>
    <w:p w:rsidR="00582596" w:rsidRPr="00A075EF" w:rsidRDefault="00C43F88" w:rsidP="00A075E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187F">
        <w:rPr>
          <w:rFonts w:ascii="Times New Roman" w:hAnsi="Times New Roman" w:cs="Times New Roman"/>
        </w:rPr>
        <w:br/>
      </w: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5pt;height:73.75pt" o:ole="">
            <v:imagedata r:id="rId4" o:title=""/>
          </v:shape>
          <o:OLEObject Type="Embed" ProgID="Visio.Drawing.11" ShapeID="_x0000_i1028" DrawAspect="Content" ObjectID="_1767623386" r:id="rId5"/>
        </w:object>
      </w:r>
    </w:p>
    <w:sectPr w:rsidR="00582596" w:rsidRPr="00A0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1"/>
    <w:rsid w:val="004F41C9"/>
    <w:rsid w:val="00582596"/>
    <w:rsid w:val="00706867"/>
    <w:rsid w:val="007E162A"/>
    <w:rsid w:val="008604C1"/>
    <w:rsid w:val="00940501"/>
    <w:rsid w:val="00A075EF"/>
    <w:rsid w:val="00B77177"/>
    <w:rsid w:val="00C43F88"/>
    <w:rsid w:val="00D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7A34"/>
  <w15:chartTrackingRefBased/>
  <w15:docId w15:val="{00406D09-0D03-4459-B32E-DE30DC1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0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6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Vašalić</dc:creator>
  <cp:keywords/>
  <dc:description/>
  <cp:lastModifiedBy>Dragana Vašalić</cp:lastModifiedBy>
  <cp:revision>6</cp:revision>
  <cp:lastPrinted>2024-01-24T16:41:00Z</cp:lastPrinted>
  <dcterms:created xsi:type="dcterms:W3CDTF">2024-01-24T15:46:00Z</dcterms:created>
  <dcterms:modified xsi:type="dcterms:W3CDTF">2024-01-24T16:43:00Z</dcterms:modified>
</cp:coreProperties>
</file>